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0891" w14:textId="657EDB6B" w:rsidR="00B71E73" w:rsidRPr="002763DD" w:rsidRDefault="00AE1EAB" w:rsidP="00AE1EAB">
      <w:pPr>
        <w:tabs>
          <w:tab w:val="left" w:pos="5925"/>
        </w:tabs>
        <w:rPr>
          <w:lang w:val="ro-RO"/>
        </w:rPr>
      </w:pPr>
      <w:bookmarkStart w:id="0" w:name="_GoBack"/>
      <w:bookmarkEnd w:id="0"/>
      <w:r>
        <w:rPr>
          <w:lang w:val="ro-RO"/>
        </w:rPr>
        <w:tab/>
      </w:r>
      <w:r>
        <w:rPr>
          <w:noProof/>
        </w:rPr>
        <w:drawing>
          <wp:inline distT="0" distB="0" distL="0" distR="0" wp14:anchorId="7B324F85" wp14:editId="206195A4">
            <wp:extent cx="6400800" cy="8382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DBD6" w14:textId="3D809814" w:rsidR="00AE1EAB" w:rsidRDefault="005B31DA" w:rsidP="005B31DA">
      <w:pPr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N</w:t>
      </w:r>
      <w:r w:rsidR="00914D40">
        <w:rPr>
          <w:rFonts w:ascii="Trebuchet MS" w:hAnsi="Trebuchet MS" w:cs="Times New Roman"/>
          <w:b/>
          <w:sz w:val="24"/>
          <w:szCs w:val="24"/>
          <w:lang w:val="ro-RO"/>
        </w:rPr>
        <w:t>r.</w:t>
      </w:r>
      <w:r w:rsidR="00F97D7D">
        <w:rPr>
          <w:rFonts w:ascii="Trebuchet MS" w:hAnsi="Trebuchet MS" w:cs="Times New Roman"/>
          <w:b/>
          <w:sz w:val="24"/>
          <w:szCs w:val="24"/>
          <w:lang w:val="ro-RO"/>
        </w:rPr>
        <w:t>2184/02.03.2022</w:t>
      </w:r>
    </w:p>
    <w:p w14:paraId="1060EB6A" w14:textId="3ECFD785" w:rsidR="00FC6202" w:rsidRPr="008921D9" w:rsidRDefault="00FC6202" w:rsidP="00FE7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89F927" w14:textId="77777777" w:rsidR="00D21569" w:rsidRPr="008921D9" w:rsidRDefault="00D21569" w:rsidP="00D21569">
      <w:pPr>
        <w:spacing w:after="0" w:line="292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COMUNICAT DE PRESĂ</w:t>
      </w:r>
    </w:p>
    <w:p w14:paraId="4827FAB9" w14:textId="77777777" w:rsidR="00D21569" w:rsidRPr="008921D9" w:rsidRDefault="00D21569" w:rsidP="00D21569">
      <w:pPr>
        <w:spacing w:after="0" w:line="292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40CA75D5" w14:textId="77777777" w:rsidR="00D21569" w:rsidRPr="008921D9" w:rsidRDefault="00D21569" w:rsidP="00D21569">
      <w:pPr>
        <w:spacing w:after="0" w:line="240" w:lineRule="auto"/>
        <w:ind w:left="-1152" w:right="-1008"/>
        <w:jc w:val="center"/>
        <w:rPr>
          <w:rFonts w:ascii="Times New Roman" w:eastAsia="Trebuchet MS" w:hAnsi="Times New Roman" w:cs="Times New Roman"/>
          <w:b/>
          <w:i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APIA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dă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startul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Campaniei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primire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a</w:t>
      </w:r>
    </w:p>
    <w:p w14:paraId="32173D87" w14:textId="77777777" w:rsidR="00D21569" w:rsidRPr="008921D9" w:rsidRDefault="00D21569" w:rsidP="00D21569">
      <w:pPr>
        <w:spacing w:after="0" w:line="240" w:lineRule="auto"/>
        <w:ind w:left="-1152" w:right="-1008"/>
        <w:jc w:val="center"/>
        <w:rPr>
          <w:rFonts w:ascii="Times New Roman" w:eastAsia="Trebuchet MS" w:hAnsi="Times New Roman" w:cs="Times New Roman"/>
          <w:b/>
          <w:i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Cererilor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Unice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>anul</w:t>
      </w:r>
      <w:proofErr w:type="spellEnd"/>
      <w:r w:rsidRPr="008921D9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2022</w:t>
      </w:r>
    </w:p>
    <w:p w14:paraId="40A03305" w14:textId="54DC4A51" w:rsidR="00D21569" w:rsidRPr="008921D9" w:rsidRDefault="00D21569" w:rsidP="00D21569">
      <w:pPr>
        <w:spacing w:before="480"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bookmarkStart w:id="1" w:name="_gjdgxs"/>
      <w:bookmarkEnd w:id="1"/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Agenţia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Plăţi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Intervenţie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Agricultură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(APIA) </w:t>
      </w:r>
      <w:r w:rsidR="00A6378D" w:rsidRPr="008921D9">
        <w:rPr>
          <w:rFonts w:ascii="Times New Roman" w:eastAsia="Trebuchet MS" w:hAnsi="Times New Roman" w:cs="Times New Roman"/>
          <w:sz w:val="24"/>
          <w:szCs w:val="24"/>
        </w:rPr>
        <w:t xml:space="preserve">a </w:t>
      </w:r>
      <w:proofErr w:type="spellStart"/>
      <w:r w:rsidR="00A6378D" w:rsidRPr="008921D9">
        <w:rPr>
          <w:rFonts w:ascii="Times New Roman" w:eastAsia="Trebuchet MS" w:hAnsi="Times New Roman" w:cs="Times New Roman"/>
          <w:sz w:val="24"/>
          <w:szCs w:val="24"/>
        </w:rPr>
        <w:t>demarat</w:t>
      </w:r>
      <w:proofErr w:type="spellEnd"/>
      <w:r w:rsidR="008921D9">
        <w:rPr>
          <w:rFonts w:ascii="Times New Roman" w:eastAsia="Trebuchet MS" w:hAnsi="Times New Roman" w:cs="Times New Roman"/>
          <w:sz w:val="24"/>
          <w:szCs w:val="24"/>
        </w:rPr>
        <w:t>,</w:t>
      </w:r>
      <w:r w:rsidR="00A6378D"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A6378D" w:rsidRPr="008921D9">
        <w:rPr>
          <w:rFonts w:ascii="Times New Roman" w:eastAsia="Trebuchet MS" w:hAnsi="Times New Roman" w:cs="Times New Roman"/>
          <w:sz w:val="24"/>
          <w:szCs w:val="24"/>
        </w:rPr>
        <w:t>începând</w:t>
      </w:r>
      <w:proofErr w:type="spellEnd"/>
      <w:r w:rsidR="00A6378D" w:rsidRPr="008921D9">
        <w:rPr>
          <w:rFonts w:ascii="Times New Roman" w:eastAsia="Trebuchet MS" w:hAnsi="Times New Roman" w:cs="Times New Roman"/>
          <w:sz w:val="24"/>
          <w:szCs w:val="24"/>
        </w:rPr>
        <w:t xml:space="preserve"> cu data de 1 </w:t>
      </w:r>
      <w:proofErr w:type="spellStart"/>
      <w:r w:rsidR="00A6378D" w:rsidRPr="008921D9">
        <w:rPr>
          <w:rFonts w:ascii="Times New Roman" w:eastAsia="Trebuchet MS" w:hAnsi="Times New Roman" w:cs="Times New Roman"/>
          <w:sz w:val="24"/>
          <w:szCs w:val="24"/>
        </w:rPr>
        <w:t>Martie</w:t>
      </w:r>
      <w:proofErr w:type="spellEnd"/>
      <w:r w:rsid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gramStart"/>
      <w:r w:rsidR="008921D9">
        <w:rPr>
          <w:rFonts w:ascii="Times New Roman" w:eastAsia="Trebuchet MS" w:hAnsi="Times New Roman" w:cs="Times New Roman"/>
          <w:sz w:val="24"/>
          <w:szCs w:val="24"/>
        </w:rPr>
        <w:t>a</w:t>
      </w:r>
      <w:proofErr w:type="gramEnd"/>
      <w:r w:rsid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8921D9">
        <w:rPr>
          <w:rFonts w:ascii="Times New Roman" w:eastAsia="Trebuchet MS" w:hAnsi="Times New Roman" w:cs="Times New Roman"/>
          <w:sz w:val="24"/>
          <w:szCs w:val="24"/>
        </w:rPr>
        <w:t>anului</w:t>
      </w:r>
      <w:proofErr w:type="spellEnd"/>
      <w:r w:rsid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8921D9">
        <w:rPr>
          <w:rFonts w:ascii="Times New Roman" w:eastAsia="Trebuchet MS" w:hAnsi="Times New Roman" w:cs="Times New Roman"/>
          <w:sz w:val="24"/>
          <w:szCs w:val="24"/>
        </w:rPr>
        <w:t>curent</w:t>
      </w:r>
      <w:proofErr w:type="spellEnd"/>
      <w:r w:rsidR="008921D9">
        <w:rPr>
          <w:rFonts w:ascii="Times New Roman" w:eastAsia="Trebuchet MS" w:hAnsi="Times New Roman" w:cs="Times New Roman"/>
          <w:sz w:val="24"/>
          <w:szCs w:val="24"/>
        </w:rPr>
        <w:t>,</w:t>
      </w:r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Campania de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primire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a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Cererilor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Unice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anul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2022.</w:t>
      </w:r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Fermierii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sunt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invitați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depună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perioada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01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martie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– 16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mai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2022,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Cererea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Unică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.</w:t>
      </w:r>
    </w:p>
    <w:p w14:paraId="5CD20B86" w14:textId="77777777" w:rsidR="00D21569" w:rsidRPr="008921D9" w:rsidRDefault="00D21569" w:rsidP="00D21569">
      <w:pPr>
        <w:spacing w:before="36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Cererea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depune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prin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accesarea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aplicației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IPA-Online din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versiunea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internet,</w:t>
      </w:r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>Manualului</w:t>
      </w:r>
      <w:proofErr w:type="spellEnd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>utilizare</w:t>
      </w:r>
      <w:proofErr w:type="spellEnd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 xml:space="preserve"> IPA-Online (</w:t>
      </w:r>
      <w:proofErr w:type="spellStart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>accesibil</w:t>
      </w:r>
      <w:proofErr w:type="spellEnd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>aplicaţie</w:t>
      </w:r>
      <w:proofErr w:type="spellEnd"/>
      <w:r w:rsidRPr="008921D9">
        <w:rPr>
          <w:rFonts w:ascii="Times New Roman" w:eastAsia="Trebuchet MS" w:hAnsi="Times New Roman" w:cs="Times New Roman"/>
          <w:i/>
          <w:color w:val="000000"/>
          <w:sz w:val="24"/>
          <w:szCs w:val="24"/>
        </w:rPr>
        <w:t>)</w:t>
      </w:r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fără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a se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prezenta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la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Centrele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județene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/locale APIA,</w:t>
      </w:r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ținând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cont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condițiile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impuse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pandemia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Covid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19</w:t>
      </w:r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.  </w:t>
      </w:r>
    </w:p>
    <w:p w14:paraId="0111032D" w14:textId="77777777" w:rsidR="00D21569" w:rsidRPr="008921D9" w:rsidRDefault="00D21569" w:rsidP="00D21569">
      <w:pPr>
        <w:tabs>
          <w:tab w:val="left" w:pos="7920"/>
        </w:tabs>
        <w:spacing w:before="240"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Se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va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completa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o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singură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Cerere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Unică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chiar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dacă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utilizează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suprafeţe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teren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diferite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localităţi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sau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judeţe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.</w:t>
      </w:r>
    </w:p>
    <w:p w14:paraId="04B3939E" w14:textId="77777777" w:rsidR="00D21569" w:rsidRPr="008921D9" w:rsidRDefault="00D21569" w:rsidP="00D21569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Fermierii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trebuie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să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verifice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împreună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cu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primăria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pe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raza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căreia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dețin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terenul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situația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înscrierii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Registrul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agricol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terenului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permită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primăriei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transmită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la APIA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adeverința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.</w:t>
      </w:r>
    </w:p>
    <w:p w14:paraId="7832C5B3" w14:textId="77777777" w:rsidR="00D21569" w:rsidRPr="008921D9" w:rsidRDefault="00D21569" w:rsidP="00D21569">
      <w:pPr>
        <w:numPr>
          <w:ilvl w:val="0"/>
          <w:numId w:val="2"/>
        </w:numPr>
        <w:spacing w:before="240" w:after="0" w:line="24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Documentele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fac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dovada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terenul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agricol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află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dispoziţia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fermierului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trebuie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încheiate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înaintea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depunerii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unice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valabile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la data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depunerii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.</w:t>
      </w:r>
    </w:p>
    <w:p w14:paraId="4ED75D4B" w14:textId="77777777" w:rsidR="00D21569" w:rsidRPr="008921D9" w:rsidRDefault="00D21569" w:rsidP="00D21569">
      <w:pPr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Adeverințele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emise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schemele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sectorul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zootehnic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către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asociaţia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agenţia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acreditată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înfiinţarea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menţinerea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registrului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genealogic al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rasei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oficiul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zootehnie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judeţean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pot fi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transmise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electronic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prin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platforma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pusă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dispoziție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către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APIA, cu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informarea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fermierului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.</w:t>
      </w:r>
    </w:p>
    <w:p w14:paraId="3722EB2D" w14:textId="77777777" w:rsidR="00D21569" w:rsidRPr="008921D9" w:rsidRDefault="00D21569" w:rsidP="00D21569">
      <w:pPr>
        <w:numPr>
          <w:ilvl w:val="0"/>
          <w:numId w:val="2"/>
        </w:numPr>
        <w:tabs>
          <w:tab w:val="left" w:pos="7920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Fermierii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deţin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animale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exploataţie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obligația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asigure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datele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acestora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sunt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actualizate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corectate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Registrul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Naţional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Exploataţiilor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(RNE) (la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medicul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veterinar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concesionar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asociaţie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propriile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evidenţe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dacă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sunteţi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utilizator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SNIIA)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adreseze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Centrului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APIA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vederea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completării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declarației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sector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zootehnic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aplicația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dedicată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sectorului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zootehnic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înainte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accesarea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IPA Online</w:t>
      </w:r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.</w:t>
      </w:r>
    </w:p>
    <w:p w14:paraId="3EC5F3F7" w14:textId="77777777" w:rsidR="00D21569" w:rsidRPr="008921D9" w:rsidRDefault="00D21569" w:rsidP="00D21569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Fermierii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care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sunt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deja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beneficiari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APIA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își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vor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actualiza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la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completarea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>doar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datele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suferit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modificări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față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anul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anterior.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acest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fel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se reduce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timpul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completare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iar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probabilitatea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introduce date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greşite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mai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mică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.</w:t>
      </w:r>
    </w:p>
    <w:p w14:paraId="4B2D2A0A" w14:textId="77777777" w:rsidR="00D21569" w:rsidRPr="008921D9" w:rsidRDefault="00D21569" w:rsidP="00D21569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9E140" w14:textId="77777777" w:rsidR="00D21569" w:rsidRPr="008921D9" w:rsidRDefault="00D21569" w:rsidP="00D21569">
      <w:pPr>
        <w:shd w:val="clear" w:color="auto" w:fill="FFFFFF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</w:pP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Funcționarii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APIA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vor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contacta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fermierii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vederea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închiderii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electronice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a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programarea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acestora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vederea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semnării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declarațiilor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atașate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acesteia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highlight w:val="white"/>
        </w:rPr>
        <w:t>.</w:t>
      </w:r>
    </w:p>
    <w:p w14:paraId="190351D5" w14:textId="605A6A14" w:rsidR="00D21569" w:rsidRDefault="00D21569" w:rsidP="00D21569">
      <w:pPr>
        <w:shd w:val="clear" w:color="auto" w:fill="FFFFFF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</w:pPr>
    </w:p>
    <w:p w14:paraId="07A47123" w14:textId="77777777" w:rsidR="00AB2BDD" w:rsidRPr="008921D9" w:rsidRDefault="00AB2BDD" w:rsidP="00D21569">
      <w:pPr>
        <w:shd w:val="clear" w:color="auto" w:fill="FFFFFF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</w:rPr>
      </w:pPr>
    </w:p>
    <w:p w14:paraId="2F671C57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ATENŢIE</w:t>
      </w:r>
      <w:proofErr w:type="gram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!!!</w:t>
      </w:r>
      <w:proofErr w:type="gram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Începând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cu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anul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2022,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fermierii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pot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semna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Cererile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folosind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semnătura</w:t>
      </w:r>
      <w:proofErr w:type="spellEnd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>electronică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>.</w:t>
      </w:r>
      <w:r w:rsidRPr="008921D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această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situație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sz w:val="24"/>
          <w:szCs w:val="24"/>
        </w:rPr>
        <w:t>este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necesar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anunțe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(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prin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mesaj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telefonic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sau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prin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e-mail)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funcționarul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desemnat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gestioneze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cererea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despre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faptul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dorește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semneze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electronic.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Semnătura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electronică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trebuie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aplicată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cererea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unică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descărcată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din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aplicația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IPA-Online la data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depunerii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Angajamentele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declarațiile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parte 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unice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vor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semna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asemenea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gramStart"/>
      <w:r w:rsidRPr="008921D9">
        <w:rPr>
          <w:rFonts w:ascii="Times New Roman" w:eastAsia="Trebuchet MS" w:hAnsi="Times New Roman" w:cs="Times New Roman"/>
          <w:sz w:val="24"/>
          <w:szCs w:val="24"/>
        </w:rPr>
        <w:t>electronic</w:t>
      </w:r>
      <w:proofErr w:type="gram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la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aceeași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. </w:t>
      </w:r>
    </w:p>
    <w:p w14:paraId="21B705C8" w14:textId="77777777" w:rsidR="00D21569" w:rsidRPr="008921D9" w:rsidRDefault="00D21569" w:rsidP="00D21569">
      <w:pPr>
        <w:shd w:val="clear" w:color="auto" w:fill="FFFFFF"/>
        <w:jc w:val="both"/>
        <w:rPr>
          <w:rFonts w:ascii="Times New Roman" w:eastAsia="Trebuchet MS" w:hAnsi="Times New Roman" w:cs="Times New Roman"/>
          <w:sz w:val="24"/>
          <w:szCs w:val="24"/>
          <w:highlight w:val="white"/>
        </w:rPr>
      </w:pP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Fermierul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sz w:val="24"/>
          <w:szCs w:val="24"/>
        </w:rPr>
        <w:t>transmite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Declaraţia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privind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completarea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asumarea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precum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închiderea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unice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2022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prin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mijloace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>electronice</w:t>
      </w:r>
      <w:proofErr w:type="spellEnd"/>
      <w:r w:rsidRPr="008921D9">
        <w:rPr>
          <w:rFonts w:ascii="Times New Roman" w:eastAsia="Trebuchet MS" w:hAnsi="Times New Roman" w:cs="Times New Roman"/>
          <w:i/>
          <w:sz w:val="24"/>
          <w:szCs w:val="24"/>
          <w:u w:val="single"/>
        </w:rPr>
        <w:t xml:space="preserve"> (email, IPA-Online)</w:t>
      </w:r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prin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care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certifică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faptul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întocmit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completat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operat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actualizat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datele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informațiile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din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cererea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unică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2022</w:t>
      </w:r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își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asumă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corectitudinea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veridicitatea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acestora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sz w:val="24"/>
          <w:szCs w:val="24"/>
        </w:rPr>
        <w:t>Totodată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își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exprimă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acordul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închiderea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unice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2022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către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funcționarul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APIA,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userul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parola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proprii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>,</w:t>
      </w:r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tipărirea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la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centrul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județean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/local APIA 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sale,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urmând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ca ulterior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se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prezinte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la APIA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semnarea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, 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angajamentelor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declarațiilor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după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caz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dar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nu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mai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târziu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de data de 30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septembrie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2022 (cu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excepția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cazului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care se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folose</w:t>
      </w:r>
      <w:r w:rsidRPr="008921D9">
        <w:rPr>
          <w:rFonts w:ascii="Times New Roman" w:eastAsia="Trebuchet MS" w:hAnsi="Times New Roman" w:cs="Times New Roman"/>
          <w:sz w:val="24"/>
          <w:szCs w:val="24"/>
        </w:rPr>
        <w:t>ș</w:t>
      </w:r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semnătura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electronică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  <w:highlight w:val="white"/>
        </w:rPr>
        <w:t>).</w:t>
      </w:r>
      <w:proofErr w:type="gramEnd"/>
    </w:p>
    <w:p w14:paraId="05658AC6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Foarte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important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este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ca</w:t>
      </w:r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înainte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semnarea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Cererii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unice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sector vegetal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zootehnic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fie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verificate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încă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dată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informațiile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înscrise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documentația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depusă</w:t>
      </w:r>
      <w:proofErr w:type="spellEnd"/>
      <w:r w:rsidRPr="008921D9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!</w:t>
      </w:r>
    </w:p>
    <w:p w14:paraId="23897B7D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</w:pPr>
    </w:p>
    <w:p w14:paraId="6C532EAB" w14:textId="77777777" w:rsidR="00D21569" w:rsidRPr="008921D9" w:rsidRDefault="00D21569" w:rsidP="00BB2EEA">
      <w:pPr>
        <w:spacing w:after="0" w:line="240" w:lineRule="auto"/>
        <w:jc w:val="center"/>
        <w:rPr>
          <w:rFonts w:ascii="Times New Roman" w:eastAsia="Trebuchet MS" w:hAnsi="Times New Roman" w:cs="Times New Roman"/>
          <w:i/>
          <w:color w:val="000000"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</w:rPr>
        <w:t>INFORMAȚII SUPLIMENTARE</w:t>
      </w:r>
    </w:p>
    <w:p w14:paraId="4E32422B" w14:textId="13C6501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Reamintim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calitate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stat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membru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al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Uniunii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Europene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România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beneficiază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fonduri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europene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prin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aplicarea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schemelor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plăţi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măsurilor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sprijin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ajutoarelor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naționale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tranzitorii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ca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mecanisme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susţinere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producătorilor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agricoli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respectiv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: </w:t>
      </w:r>
    </w:p>
    <w:p w14:paraId="39FB4797" w14:textId="77777777" w:rsidR="008921D9" w:rsidRPr="008921D9" w:rsidRDefault="008921D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792142C2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- schema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unică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suprafaţă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(SAPS),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redistributivă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practici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agricole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benefice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climă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mediu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tinerii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fermieri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micii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fermieri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schemele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sprijin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cuplat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sectorul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vegetal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zootehnic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</w:p>
    <w:p w14:paraId="0C0B1633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măsurile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dezvoltare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rurală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: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Măsura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10 - Agro-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mediu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climă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Măsura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11 -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Agricultura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ecologică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Măsura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13 -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Plăţi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zone care se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confruntă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cu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constrângeri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naturale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sau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alte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constrângeri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specifice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(</w:t>
      </w:r>
      <w:r w:rsidRPr="008921D9">
        <w:rPr>
          <w:rFonts w:ascii="Times New Roman" w:eastAsia="Trebuchet MS" w:hAnsi="Times New Roman" w:cs="Times New Roman"/>
          <w:i/>
          <w:sz w:val="24"/>
          <w:szCs w:val="24"/>
        </w:rPr>
        <w:t>PNDR 2014-2020</w:t>
      </w:r>
      <w:r w:rsidRPr="008921D9">
        <w:rPr>
          <w:rFonts w:ascii="Times New Roman" w:eastAsia="Trebuchet MS" w:hAnsi="Times New Roman" w:cs="Times New Roman"/>
          <w:sz w:val="24"/>
          <w:szCs w:val="24"/>
        </w:rPr>
        <w:t>),</w:t>
      </w:r>
    </w:p>
    <w:p w14:paraId="205F509C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921D9">
        <w:rPr>
          <w:rFonts w:ascii="Times New Roman" w:eastAsia="Trebuchet MS" w:hAnsi="Times New Roman" w:cs="Times New Roman"/>
          <w:sz w:val="24"/>
          <w:szCs w:val="24"/>
        </w:rPr>
        <w:t>ajutoarele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naţionale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tranzitorii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(ANT) care se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acordă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sectorul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vegetal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zootehnic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03A43F5A" w14:textId="77777777" w:rsidR="00D21569" w:rsidRPr="008921D9" w:rsidRDefault="00D21569" w:rsidP="00D21569">
      <w:pPr>
        <w:spacing w:before="240"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Potrivit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prevederilor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legislaţiei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europene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naţionale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orice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fermier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solicită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plăţi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cadrul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schemelor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măsurilor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sprijin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ajutoarelor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naționale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tranzitorii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aferente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Campaniei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2022, </w:t>
      </w:r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are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obligația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să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respecte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normele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ecocondiționalitate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cuprind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Bunele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Condiţii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Agricole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Mediu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(GAEC)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Cerinţele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Legale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Materie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Gestionare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(SMR),</w:t>
      </w:r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pe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tot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pacursul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anului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pe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toate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parcelele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agricole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din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cadrul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exploataţiei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indiferent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mărimea</w:t>
      </w:r>
      <w:proofErr w:type="spellEnd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lor</w:t>
      </w:r>
      <w:proofErr w:type="spellEnd"/>
      <w:r w:rsidRPr="008921D9">
        <w:rPr>
          <w:rFonts w:ascii="Times New Roman" w:eastAsia="Trebuchet MS" w:hAnsi="Times New Roman" w:cs="Times New Roman"/>
          <w:color w:val="FF0000"/>
          <w:sz w:val="24"/>
          <w:szCs w:val="24"/>
        </w:rPr>
        <w:t xml:space="preserve"> </w:t>
      </w:r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(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inclusiv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neeligibile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şi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cele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care nu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mai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sunt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folosite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în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scopul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producţiei</w:t>
      </w:r>
      <w:proofErr w:type="spellEnd"/>
      <w:r w:rsidRPr="008921D9">
        <w:rPr>
          <w:rFonts w:ascii="Times New Roman" w:eastAsia="Trebuchet MS" w:hAnsi="Times New Roman" w:cs="Times New Roman"/>
          <w:color w:val="000000"/>
          <w:sz w:val="24"/>
          <w:szCs w:val="24"/>
        </w:rPr>
        <w:t>).</w:t>
      </w:r>
      <w:proofErr w:type="gramEnd"/>
    </w:p>
    <w:p w14:paraId="4F1F0888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14:paraId="74972305" w14:textId="77777777" w:rsidR="00D21569" w:rsidRPr="008921D9" w:rsidRDefault="00D21569" w:rsidP="00D21569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Informațiile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detaliate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accesarea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fiecărei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scheme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plată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>/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măsuri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sprijin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inclusiv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hărțile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listele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cu UAT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eligibile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pentru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măsurile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dezvoltare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rurală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>, 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dar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ghidurile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adresate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fermierilor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gramStart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pot fi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consultate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site-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urile</w:t>
      </w:r>
      <w:proofErr w:type="spellEnd"/>
      <w:proofErr w:type="gram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: </w:t>
      </w:r>
      <w:hyperlink r:id="rId6" w:history="1">
        <w:r w:rsidRPr="008921D9">
          <w:rPr>
            <w:rStyle w:val="Hyperlink"/>
            <w:rFonts w:ascii="Times New Roman" w:eastAsia="Trebuchet MS" w:hAnsi="Times New Roman" w:cs="Times New Roman"/>
            <w:color w:val="0000FF"/>
            <w:sz w:val="24"/>
            <w:szCs w:val="24"/>
          </w:rPr>
          <w:t>www.apia.org.ro</w:t>
        </w:r>
      </w:hyperlink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hyperlink r:id="rId7" w:history="1">
        <w:r w:rsidRPr="008921D9">
          <w:rPr>
            <w:rStyle w:val="Hyperlink"/>
            <w:rFonts w:ascii="Times New Roman" w:eastAsia="Trebuchet MS" w:hAnsi="Times New Roman" w:cs="Times New Roman"/>
            <w:color w:val="0000FF"/>
            <w:sz w:val="24"/>
            <w:szCs w:val="24"/>
          </w:rPr>
          <w:t>www.madr.ro</w:t>
        </w:r>
      </w:hyperlink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8921D9">
        <w:rPr>
          <w:rFonts w:ascii="Times New Roman" w:eastAsia="Trebuchet MS" w:hAnsi="Times New Roman" w:cs="Times New Roman"/>
          <w:sz w:val="24"/>
          <w:szCs w:val="24"/>
        </w:rPr>
        <w:t>și</w:t>
      </w:r>
      <w:proofErr w:type="spellEnd"/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hyperlink r:id="rId8" w:history="1">
        <w:r w:rsidRPr="008921D9">
          <w:rPr>
            <w:rStyle w:val="Hyperlink"/>
            <w:rFonts w:ascii="Times New Roman" w:eastAsia="Trebuchet MS" w:hAnsi="Times New Roman" w:cs="Times New Roman"/>
            <w:color w:val="0000FF"/>
            <w:sz w:val="24"/>
            <w:szCs w:val="24"/>
          </w:rPr>
          <w:t>www.pndr.ro</w:t>
        </w:r>
      </w:hyperlink>
      <w:r w:rsidRPr="008921D9">
        <w:rPr>
          <w:rFonts w:ascii="Times New Roman" w:eastAsia="Trebuchet MS" w:hAnsi="Times New Roman" w:cs="Times New Roman"/>
          <w:sz w:val="24"/>
          <w:szCs w:val="24"/>
        </w:rPr>
        <w:t xml:space="preserve">.  </w:t>
      </w:r>
    </w:p>
    <w:p w14:paraId="4F15E7A4" w14:textId="77F63F66" w:rsidR="00397F36" w:rsidRPr="008921D9" w:rsidRDefault="00397F36" w:rsidP="00E211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14:paraId="1F67ECA3" w14:textId="70EDF4BD" w:rsidR="008921D9" w:rsidRDefault="008921D9" w:rsidP="00FE76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3D2FA75" w14:textId="7FDF47D2" w:rsidR="008921D9" w:rsidRDefault="008921D9" w:rsidP="00FE76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3D34418" w14:textId="51EF6F57" w:rsidR="008921D9" w:rsidRDefault="008921D9" w:rsidP="00FE76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DIRECTOR EXECUTIV</w:t>
      </w:r>
    </w:p>
    <w:p w14:paraId="698F468D" w14:textId="59A18EA2" w:rsidR="008921D9" w:rsidRPr="008E67F1" w:rsidRDefault="008921D9" w:rsidP="00FE76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Ovidiu Daniel SĂVÂȘCĂ</w:t>
      </w:r>
    </w:p>
    <w:sectPr w:rsidR="008921D9" w:rsidRPr="008E67F1" w:rsidSect="008A0881">
      <w:pgSz w:w="12240" w:h="15840"/>
      <w:pgMar w:top="432" w:right="864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FF2"/>
    <w:multiLevelType w:val="hybridMultilevel"/>
    <w:tmpl w:val="0B6684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1117C"/>
    <w:multiLevelType w:val="multilevel"/>
    <w:tmpl w:val="DCDC783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82"/>
    <w:rsid w:val="00027B6C"/>
    <w:rsid w:val="00057DDA"/>
    <w:rsid w:val="000745DC"/>
    <w:rsid w:val="000874BE"/>
    <w:rsid w:val="00091F9F"/>
    <w:rsid w:val="00095B06"/>
    <w:rsid w:val="00097E19"/>
    <w:rsid w:val="000A0AD8"/>
    <w:rsid w:val="000B5AE8"/>
    <w:rsid w:val="000B631F"/>
    <w:rsid w:val="000F4AA7"/>
    <w:rsid w:val="00101F53"/>
    <w:rsid w:val="001346E7"/>
    <w:rsid w:val="001458BE"/>
    <w:rsid w:val="001959E8"/>
    <w:rsid w:val="001B7FB2"/>
    <w:rsid w:val="00226EBB"/>
    <w:rsid w:val="00247A3C"/>
    <w:rsid w:val="002502C6"/>
    <w:rsid w:val="002524B0"/>
    <w:rsid w:val="002763DD"/>
    <w:rsid w:val="002935C0"/>
    <w:rsid w:val="003027B1"/>
    <w:rsid w:val="0031632E"/>
    <w:rsid w:val="0035519C"/>
    <w:rsid w:val="00374C82"/>
    <w:rsid w:val="00395983"/>
    <w:rsid w:val="00397F36"/>
    <w:rsid w:val="003A3DDD"/>
    <w:rsid w:val="003E7A9A"/>
    <w:rsid w:val="004060F1"/>
    <w:rsid w:val="00432E13"/>
    <w:rsid w:val="00466105"/>
    <w:rsid w:val="004C2937"/>
    <w:rsid w:val="004F2D2E"/>
    <w:rsid w:val="00582C65"/>
    <w:rsid w:val="0059280D"/>
    <w:rsid w:val="00595B08"/>
    <w:rsid w:val="005B31DA"/>
    <w:rsid w:val="005C61EC"/>
    <w:rsid w:val="005D4B9E"/>
    <w:rsid w:val="006424CC"/>
    <w:rsid w:val="0065286C"/>
    <w:rsid w:val="006529D2"/>
    <w:rsid w:val="00667AA5"/>
    <w:rsid w:val="006A33E3"/>
    <w:rsid w:val="006B512C"/>
    <w:rsid w:val="006E69B7"/>
    <w:rsid w:val="00703CDB"/>
    <w:rsid w:val="00734125"/>
    <w:rsid w:val="00750973"/>
    <w:rsid w:val="00756CC3"/>
    <w:rsid w:val="007C6BF9"/>
    <w:rsid w:val="007F1712"/>
    <w:rsid w:val="00822660"/>
    <w:rsid w:val="008311E7"/>
    <w:rsid w:val="00843083"/>
    <w:rsid w:val="0087283C"/>
    <w:rsid w:val="0087763A"/>
    <w:rsid w:val="008921D9"/>
    <w:rsid w:val="00895973"/>
    <w:rsid w:val="008A0881"/>
    <w:rsid w:val="008C1380"/>
    <w:rsid w:val="008D5D1A"/>
    <w:rsid w:val="008E67F1"/>
    <w:rsid w:val="008F78A4"/>
    <w:rsid w:val="00914D40"/>
    <w:rsid w:val="0092245B"/>
    <w:rsid w:val="0093538E"/>
    <w:rsid w:val="00957238"/>
    <w:rsid w:val="009759BE"/>
    <w:rsid w:val="00982840"/>
    <w:rsid w:val="009F63CB"/>
    <w:rsid w:val="00A029A6"/>
    <w:rsid w:val="00A3693D"/>
    <w:rsid w:val="00A423DD"/>
    <w:rsid w:val="00A563FD"/>
    <w:rsid w:val="00A6378D"/>
    <w:rsid w:val="00A7526D"/>
    <w:rsid w:val="00A77567"/>
    <w:rsid w:val="00A84AE7"/>
    <w:rsid w:val="00AA3393"/>
    <w:rsid w:val="00AB2BDD"/>
    <w:rsid w:val="00AE1EAB"/>
    <w:rsid w:val="00AF0E63"/>
    <w:rsid w:val="00B34001"/>
    <w:rsid w:val="00B35598"/>
    <w:rsid w:val="00B57412"/>
    <w:rsid w:val="00B6539F"/>
    <w:rsid w:val="00B71E73"/>
    <w:rsid w:val="00BA63EB"/>
    <w:rsid w:val="00BB2EEA"/>
    <w:rsid w:val="00BB6A92"/>
    <w:rsid w:val="00BD128C"/>
    <w:rsid w:val="00BF504B"/>
    <w:rsid w:val="00C04170"/>
    <w:rsid w:val="00C10BAD"/>
    <w:rsid w:val="00C3135E"/>
    <w:rsid w:val="00C31E6C"/>
    <w:rsid w:val="00C3595F"/>
    <w:rsid w:val="00C56136"/>
    <w:rsid w:val="00CB45C1"/>
    <w:rsid w:val="00D21569"/>
    <w:rsid w:val="00D5414D"/>
    <w:rsid w:val="00DB2CB1"/>
    <w:rsid w:val="00E01F63"/>
    <w:rsid w:val="00E21157"/>
    <w:rsid w:val="00E752FB"/>
    <w:rsid w:val="00F15790"/>
    <w:rsid w:val="00F97D7D"/>
    <w:rsid w:val="00FA7E3A"/>
    <w:rsid w:val="00FC6202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9FD7"/>
  <w15:docId w15:val="{F06137A5-B736-48AE-9749-9263C694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9759BE"/>
    <w:rPr>
      <w:b/>
      <w:bCs w:val="0"/>
      <w:sz w:val="26"/>
    </w:rPr>
  </w:style>
  <w:style w:type="character" w:styleId="Hyperlink">
    <w:name w:val="Hyperlink"/>
    <w:basedOn w:val="DefaultParagraphFont"/>
    <w:uiPriority w:val="99"/>
    <w:unhideWhenUsed/>
    <w:rsid w:val="009759BE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9759BE"/>
    <w:rPr>
      <w:sz w:val="16"/>
      <w:szCs w:val="16"/>
    </w:rPr>
  </w:style>
  <w:style w:type="character" w:customStyle="1" w:styleId="tal1">
    <w:name w:val="tal1"/>
    <w:rsid w:val="009759BE"/>
  </w:style>
  <w:style w:type="paragraph" w:styleId="NoSpacing">
    <w:name w:val="No Spacing"/>
    <w:uiPriority w:val="1"/>
    <w:qFormat/>
    <w:rsid w:val="009759BE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rvts7">
    <w:name w:val="rvts7"/>
    <w:basedOn w:val="DefaultParagraphFont"/>
    <w:rsid w:val="009759BE"/>
  </w:style>
  <w:style w:type="character" w:customStyle="1" w:styleId="rvts10">
    <w:name w:val="rvts10"/>
    <w:basedOn w:val="DefaultParagraphFont"/>
    <w:uiPriority w:val="99"/>
    <w:rsid w:val="00667AA5"/>
  </w:style>
  <w:style w:type="character" w:customStyle="1" w:styleId="NormalWebChar1">
    <w:name w:val="Normal (Web) Char1"/>
    <w:aliases w:val="Normal (Web) Char Char Char,Normal (Web) Char Char1"/>
    <w:link w:val="NormalWeb"/>
    <w:uiPriority w:val="99"/>
    <w:locked/>
    <w:rsid w:val="00667AA5"/>
    <w:rPr>
      <w:sz w:val="24"/>
      <w:szCs w:val="24"/>
      <w:lang w:val="ro-RO" w:eastAsia="ro-RO"/>
    </w:rPr>
  </w:style>
  <w:style w:type="paragraph" w:styleId="NormalWeb">
    <w:name w:val="Normal (Web)"/>
    <w:aliases w:val="Normal (Web) Char Char,Normal (Web) Char"/>
    <w:basedOn w:val="Normal"/>
    <w:link w:val="NormalWebChar1"/>
    <w:uiPriority w:val="99"/>
    <w:unhideWhenUsed/>
    <w:rsid w:val="00667AA5"/>
    <w:pPr>
      <w:spacing w:before="100" w:beforeAutospacing="1" w:after="100" w:afterAutospacing="1" w:line="240" w:lineRule="auto"/>
    </w:pPr>
    <w:rPr>
      <w:sz w:val="24"/>
      <w:szCs w:val="24"/>
      <w:lang w:val="ro-RO" w:eastAsia="ro-RO"/>
    </w:rPr>
  </w:style>
  <w:style w:type="character" w:customStyle="1" w:styleId="rvts12">
    <w:name w:val="rvts12"/>
    <w:basedOn w:val="DefaultParagraphFont"/>
    <w:uiPriority w:val="99"/>
    <w:rsid w:val="00667AA5"/>
  </w:style>
  <w:style w:type="character" w:customStyle="1" w:styleId="rvts9">
    <w:name w:val="rvts9"/>
    <w:basedOn w:val="DefaultParagraphFont"/>
    <w:uiPriority w:val="99"/>
    <w:rsid w:val="00667AA5"/>
  </w:style>
  <w:style w:type="character" w:customStyle="1" w:styleId="ln2talineat">
    <w:name w:val="ln2talineat"/>
    <w:basedOn w:val="DefaultParagraphFont"/>
    <w:uiPriority w:val="99"/>
    <w:rsid w:val="00667AA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5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d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ia.org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Windows User</cp:lastModifiedBy>
  <cp:revision>2</cp:revision>
  <cp:lastPrinted>2020-04-06T08:59:00Z</cp:lastPrinted>
  <dcterms:created xsi:type="dcterms:W3CDTF">2022-03-02T09:00:00Z</dcterms:created>
  <dcterms:modified xsi:type="dcterms:W3CDTF">2022-03-02T09:00:00Z</dcterms:modified>
</cp:coreProperties>
</file>